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INSTRUKSI 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: 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TENTANG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37.99999237060547" w:line="281.00000381469727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Dalam rangka...........................................................................................................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dengan ini menginstruksikan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	: 1. 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  2. ................................................................................................................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  3. ................................................................................................................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  4. ................................................................................................................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KESATU	: 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KEDUA	: 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KETIGA	: dan seterusnya 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Instruksi ini mulai berlaku pada tanggal ditetapkan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Ditetapkankan di .................,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Pada Tanggal ..................,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